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0"/>
        <w:contextualSpacing/>
        <w:ind w:left="4536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/>
      <w:r>
        <w:rPr>
          <w:rFonts w:ascii="Times New Roman" w:hAnsi="Times New Roman" w:cs="Times New Roman"/>
          <w:sz w:val="28"/>
          <w:szCs w:val="28"/>
        </w:rPr>
        <w:t xml:space="preserve">ПРИЛОЖЕНИЕ № 1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contextualSpacing/>
        <w:ind w:left="4536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0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0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0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10"/>
        <w:ind w:left="453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от 28.01.2026  №22-НПА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1.1-2026-ПО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«Оказание услуг по осуществлению строительного контроля»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2026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  <w:tab/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1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>
        <w:tblPrEx/>
        <w:trPr>
          <w:trHeight w:val="887"/>
        </w:trPr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pStyle w:val="710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4" w:type="dxa"/>
            <w:vAlign w:val="center"/>
            <w:textDirection w:val="lrTb"/>
            <w:noWrap w:val="false"/>
          </w:tcPr>
          <w:p>
            <w:pPr>
              <w:pStyle w:val="710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1. Сведения об органе по ведению РКПО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87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mingkh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nso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 (383) 238-76-53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87"/>
        </w:trPr>
        <w:tc>
          <w:tcPr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услуг по осуществлению строительного контроля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1.1-2026-ПО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208"/>
        </w:trPr>
        <w:tc>
          <w:tcPr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87"/>
        </w:trPr>
        <w:tc>
          <w:tcPr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7"/>
        </w:trPr>
        <w:tc>
          <w:tcPr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89"/>
        </w:trPr>
        <w:tc>
          <w:tcPr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02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89"/>
        </w:trPr>
        <w:tc>
          <w:tcPr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25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6"/>
        </w:trPr>
        <w:tc>
          <w:tcPr>
            <w:tcW w:w="697" w:type="dxa"/>
            <w:textDirection w:val="lrTb"/>
            <w:noWrap w:val="false"/>
          </w:tcPr>
          <w:p>
            <w:pPr>
              <w:pStyle w:val="71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10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10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11 марта 2026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71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1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710"/>
        <w:numPr>
          <w:ilvl w:val="0"/>
          <w:numId w:val="0"/>
        </w:numPr>
        <w:jc w:val="center"/>
        <w:spacing w:before="120"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213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710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10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71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Особые требования к оказанию услуг и (или) выполнению работ подрядной организаций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710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Предметом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строительного контроля является проверка выполнения работ при капитальном ремонте общего имущества многоквартирного дома (далее – МКД) на соответствие требованиям действующего законодательства, проектной и подготовленной на ее основе рабочей документации.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Строительный контроль осуществляется в соответствии с Градостроительным кодексом Российской Федерации, постановлением Правительства Российской Федерации от 21 июня 2010 года № 468 (ред. от 06.05.2024)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строительства», а также иной действующей нормативной правовой базой Российской Федерации в сфере строительного контроля.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71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оказанию услуг и (или) выполнению работ 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vAlign w:val="center"/>
            <w:textDirection w:val="lrTb"/>
            <w:noWrap w:val="false"/>
          </w:tcPr>
          <w:p>
            <w:pPr>
              <w:pStyle w:val="710"/>
              <w:ind w:right="-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Строительный контроль осуществляется в соответствии с Методикой проведения строительного контроля при строительстве, реконструкции, капитал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ьном ремонте объектов капитального строительства СДОС-04-2009 (принята решением Наблюдательного совета Единой системы оценки соответствия в области промышленной, экологической безопасности, безопасности в энергетике и строительстве от 20.07.2009 № 30-БНС).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10"/>
              <w:ind w:right="-1"/>
              <w:jc w:val="both"/>
              <w:spacing w:before="0" w:after="0" w:line="240" w:lineRule="auto"/>
              <w:tabs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Услуги по осуществлению строительного контроля оказываются в соответствии со следующими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нормами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законодательства Российской Федерации: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Градостроительный кодекс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Земельный кодекс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Жилищный кодекс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закон от 30.12.2009 № 384-ФЗ «Технический регламент о безопасности зданий и сооружений»;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закон Российской Федерации от 27.12.2002 № 184-ФЗ «О техническом регулировании»;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закон Российской Федерации от 22.07.2008 № 123-Ф3 «Технический регламент о требованиях пожарной безопасности»;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ВСН 61-89(р) «Реконструкция и капитальный ремонт жилых домов. Нормы проектирования»;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МДС 13-1.99 «Инструкция о составе, порядке</w:t>
              <w:br/>
              <w:t xml:space="preserve">разработки, согласования и утверждения проектно-</w:t>
              <w:br/>
              <w:t xml:space="preserve">сметной документации на капитальный ремонт жилых</w:t>
              <w:br/>
              <w:t xml:space="preserve">зданий»;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ГОСТ 21.101-2020 «Система проектной документации для строительства (СПДС). Основные требования к проектной и рабочей документации» (дата введения 01.01.2021);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 31-110-2003 Свод правил по проектированию и строительству. Проектирование и монтаж</w:t>
              <w:br/>
              <w:t xml:space="preserve">электроустановок жилых и общественных зданий»;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Правила устройства электроустановок, утвержденные приказом Министерства энергетики Российской Федерации от 08.07.2002 г. № 204;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ГОСТ 31565-2012 Межгосударственный стандарт. Кабельные изделия. Требования пожарной безопасности»;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 76.13330.2016 Свод правил. Электротехнические устройства. Актуализированная редакция СНиП 3.05.06-85»;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«ГОСТ 31996-2012 Кабели силовые с пластмассовой изоляцией на номинальное напряжение 0,66; 1 и 3 кВ. Общие технические условия»;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Правила технической эксплуатации электроустановок потребителей электрической энергии, утвержденные приказом Министерства энергетики Российской Федерации от 12 августа 2022 года № 811;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 20.13330.2016 «Нагрузки и воздействия. СНиП 2.01.07-85*» утвержденным приказом Минстроя России от 14.12.2023 № 918/пр;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Изменения № 1 к СП 95.13330.2016 «СНиП 2.03.02-86 Бетонные и железобетонные</w:t>
              <w:br/>
              <w:t xml:space="preserve">конструкции из плотного силикатного бетона», утвержденные приказом Минстроя России от 04.12.2023 № 863/пр;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90"/>
              <w:numPr>
                <w:ilvl w:val="0"/>
                <w:numId w:val="2"/>
              </w:numPr>
              <w:contextualSpacing/>
              <w:ind w:left="0" w:right="-1" w:firstLine="0"/>
              <w:jc w:val="both"/>
              <w:spacing w:before="0" w:after="0" w:line="240" w:lineRule="auto"/>
              <w:tabs>
                <w:tab w:val="left" w:pos="238" w:leader="none"/>
                <w:tab w:val="clear" w:pos="70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 42-101-2003 Свод правил по проектированию и строительству. Общие положения по проектированию и строительству газораспределительных систем из металлических и полиэтиленовых труб».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10"/>
              <w:ind w:right="-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Данный перечень нормативных правовых актов </w:t>
            </w:r>
            <w:r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highlight w:val="white"/>
              </w:rPr>
              <w:t xml:space="preserve">уточняется в документации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71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Требование к календарному плану оказания услуг и (или) выполнения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vAlign w:val="center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Услуги должны оказываться в соответствии с прилагаемым к договору строительного подряда на оказание услуг по осуществлению строительного контроля (далее – договор) графиком оказания услуг.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10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</w:r>
      <w:r>
        <w:rPr>
          <w:rFonts w:ascii="Times New Roman" w:hAnsi="Times New Roman" w:eastAsia="Calibri" w:cs="Times New Roman"/>
          <w:bCs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строительного подряда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2411"/>
        <w:gridCol w:w="7088"/>
      </w:tblGrid>
      <w:tr>
        <w:tblPrEx/>
        <w:trPr>
          <w:tblHeader/>
        </w:trPr>
        <w:tc>
          <w:tcPr>
            <w:shd w:val="clear" w:color="auto" w:fill="f2f2f2"/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11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7088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11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7088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332"/>
        </w:trPr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 договора строительного подряда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Предметом договора является оказание услуг по осуществлению строительного контроля.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Оказание услуг по осуществлению строительного контроля, включает в себя следующий состав работ (услуг):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а) проверка полноты и соблюдения установленных сроков выполнения подрядной организацией входного контроля и достоверности документирования его результатов;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б) проверка выполнения подрядной организацией контрольных мероприятий по соблюдению правил складирования и хранения применяемой продукции и достоверности документирования его результатов;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в) проверка полноты 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соблюдения установленных сроков выполнения подрядной организацией контроля последовательности и состава технологических операций по осуществлению капитального ремонта общего имущества многоквартирных домов и достоверности документирования его результатов;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г) совместно с подрядной организацией освидетельствование скрытых работ и промежуточная приемка возведенных строительных конструкций, влияющих на безопасность объекта капитального ремонта, участков сетей инженерно-технического обеспечения;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д) проверка совместно с подрядной организацией соответствия законченного после капитального ремонта объекта требованиям проектной и подготовленной на ее основе рабочей документации, требованиям технических регламентов;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е) иные мероприятия в целях осуществления строительного контроля, предусмотренные законодательством Российской Федерации и (или) заключенным договором.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16" w:tooltip="http://www.mjkh.nso.ru/page/724." w:history="1">
              <w:r>
                <w:rPr>
                  <w:rStyle w:val="743"/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http://www.mjkh.nso.ru/page/724.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highlight w:val="white"/>
                <w:lang w:val="ru-RU" w:eastAsia="en-US" w:bidi="ar-SA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3108"/>
        </w:trPr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contextualSpacing/>
              <w:jc w:val="both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Выплата аванса по настоящему договору не производится.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contextualSpacing/>
              <w:jc w:val="both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contextualSpacing/>
              <w:jc w:val="both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 может быть снижена по соглашению сторон при уменьшении предусмотренных договором объемов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contextualSpacing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Изменение стоимости и объемов работ производится на основании решения общего собрания собственников помещений в многоквартирном доме при соблюдении положений, установленных частью 5 статьи 189 Жилищного кодекса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Исполнение обязательств по договору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независимой гарантией, выданной в соответствии с требованиями, предусмотренными </w:t>
            </w:r>
            <w:hyperlink r:id="rId17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частью 1 статьи 45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Размер обеспечения исполнения договора указывается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5. Обеспечение исполнения договора может быть установлено в размере, превышающем в 2 раза размер обеспечения его исполнения, указанный в документаци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 о проведении электронного аукциона, в случае, если при проведении электронного аукциона участником закупки, с которым заключается договор строительного подряда, предложена цена, которая на 20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6. Независимая гарантия оформляется в письменной форме на бумажном носителе или в форме электронного документа, подписанного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усиленной квалифицированной электронной подписью лица, имеющего право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требован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(или) в случае расторжения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срок действия независимой гарантии должен превышать срок оказания услуг и (или) выполнения работ по договору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ind w:left="34"/>
              <w:jc w:val="left"/>
              <w:spacing w:before="0" w:after="0" w:line="240" w:lineRule="auto"/>
              <w:widowControl w:val="off"/>
              <w:tabs>
                <w:tab w:val="left" w:pos="34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 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Ответственность Заказчика и 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сторон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за неисполнение или ненадлежащее исполнение обязательств по такому договору, определяются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Договор заключается За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казчиком в соответствии с Гражданским кодексом Российской Федерации и 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утвержденном постановлением Правительства Российской Федерации от 1 июля 2016 г. № 615 (далее – Положение).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Порядок заключения договора определяется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3"/>
        </w:trPr>
        <w:tc>
          <w:tcPr>
            <w:tcW w:w="5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1.Предмет договора, место проведения работ (услуг), сроки выполнения работ (услуг), продолжительность этапов выполнения работ (услуг), виды работ (услуг) не могут изменяться в ходе его исполнения, за исключением случаев, предусмотренных Положением.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2.При исполнении договора не допускается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еремена подрядной организации, за исключением случаев, если новая подрядная организация является правопреемником подрядной организации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а) по соглашению сторон;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б) по инициативе Заказчика, в том числе в виде одностороннего отказа от договора (основания такого расторжения устанавливаются в документации о проведении электронного аукциона);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 осуществляет расторжение договора в одностороннем порядке, в следующих случаях: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б) задержка подрядной организацией начала оказания услуг и (или) выполнения работ более чем на 10 (десять) календарных дней по причинам, не зависящим от Заказчика или собственников помещений в многоквартирном доме;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в) неоднократное (2 раза и более в течение одного календарного месяца) несоблюдение (отступление от 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ребований, предусмотренных договором,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строительного подряда;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д) прекращение членства подрядной организации в саморегулируемой организации, издание актов государственных органов в рамках законодательства Российской Федерации, лишающих права подрядную организацию на производство работ (оказание услуг);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е) нарушение подрядной организацией сроков оказания услуг и (или) выполнения работ продолжительностью более 30 (тридцати) календарных дней по любому из МКД;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ж) нарушение срока замены независимой гарантии, установленного договором, при отзыве лицензии, банкротстве или ликвидации гаранта более чем на 2 рабочих дня;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з) выявление Заказчи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ком после заключения договора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1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и) неисполнение обязательства о продлении срока независимой гарантии при измен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710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«Оказание услуг по осуществлению строительного контроля»,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членство в саморегулируемой организации в области строительства, реконстр</w:t>
      </w:r>
      <w:r>
        <w:rPr>
          <w:rFonts w:ascii="Times New Roman" w:hAnsi="Times New Roman" w:eastAsia="Calibri" w:cs="Times New Roman"/>
          <w:sz w:val="24"/>
          <w:szCs w:val="24"/>
        </w:rPr>
        <w:t xml:space="preserve">укции, капитального ремонта объектов капитального строительства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отсутствие у Участника за 3 года, предшествующие дате окончани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я срока подачи заявок на участие в предварительном отборе, контракта или договора, в том числе заключенного в соответствии с Положением, по строительству, реконструкции и (или) капитальному ремонту объектов капитального строительства, относящихся к той же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группе услуг и (или)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отсутствие конфликта интересов, то есть случаев, при которых руководитель Заказчика, член комиссии по проведению предварительного отбора, комиссии по осуществлению закупок, должн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либо являются близкими родственниками (родственниками по прямой восходящей и нисходящей линии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понимаются физические лица, 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адеющие напрямую или косвенно (через юридическое лицо или через несколько юридических лиц) более чем 10 (десятью) процентами голосующих акций хозяйственного общества либо долей, превышающей 10 (десять) процентов в уставном капитале хозяйственного общества;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Участника –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наличие в штате у Участника работников, соответствующих установленным пунктом 1 части 6 статьи 55.5 Градостроительного кодекса Российско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й Федерации квалификационным требованиям, в количестве, установленном в Приложении № 3 к Документации о проведении предварительного отбора, 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наличие у Участника за 3 года, предшествующие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договорам, предметом которых </w:t>
      </w:r>
      <w:r>
        <w:rPr>
          <w:rFonts w:ascii="Times New Roman" w:hAnsi="Times New Roman" w:eastAsia="Calibri" w:cs="Times New Roman"/>
          <w:sz w:val="24"/>
          <w:szCs w:val="24"/>
        </w:rPr>
        <w:t xml:space="preserve">являлись строительство, реконструкция, капитальный ремонт зданий, являющихся объектами капитального строительства, ремонт (замена) лифтового оборудования, разработка проектной документации, в том числе по договорам, заключенным в соответствии с Положением;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н) отсутствие в отношении участника предварительного отбора решения об исключении подрядной организации из реестра квалифицированны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х подрядных организаций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710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Приложения № 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ивидуальных предпринимателей или засвидетельствованная в нотариальном порядке копия такой выписки, полученная не ранее чем за 30 календарных дней до даты подачи Заявки,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копии учредительных документов Участника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highlight w:val="none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</w:rPr>
        <w:t xml:space="preserve">з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) штатно-списочный состав сотрудников (рекомендуется представлять в соответствии с формой, установленной в Приложении № 2 к Документации о проведении предварительного отбора);</w:t>
      </w:r>
      <w:r>
        <w:rPr>
          <w:highlight w:val="none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копии трудовых книжек и (или) сведения о трудовой деяте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льности, предусмотренные статьей 66.1 Трудового кодекса Российской Федерации, копии дипломов, сертификатов, аттестатов и удостоверений, подтверждающих наличие у участника предварительного отбора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не менее 3 исполненных контрактов и (или) договоров, подтверждающих наличие у Участника предусмотренного подпунктом «п»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пункта 23 Положения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Приложение № 4 к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(рекомендуется представлять в соответствии с формой, установленной в Приложении № 5 к Документации о проведении предварительного отбора)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10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Регистрация на электронной площадке, а также участие в предварительном отборе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Участник, подавший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Каждая Заявка, поступившая в установленные сроки, регистрируется оператором электронной площадки, с присвоением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Установленные дата и время окончания срока подачи Заявок могут быть продлены Органом по ведению РКПО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left="142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10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142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РКПО запрос о разъяснении Документации о проведении предварительного отбора (далее – Запрос).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left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17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февраля 2025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В случае, если Запрос поступил в сроки, указанные в пункте 3 настоящего раздела, Орган по ведени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подписан, усиленной квалифицированной электронной подписью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ind w:left="360"/>
        <w:jc w:val="center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numPr>
          <w:ilvl w:val="0"/>
          <w:numId w:val="5"/>
        </w:numPr>
        <w:ind w:left="142" w:hanging="360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РКПО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нородными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numPr>
          <w:ilvl w:val="0"/>
          <w:numId w:val="3"/>
        </w:numPr>
        <w:contextualSpacing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contextualSpacing/>
        <w:ind w:left="319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РКПО в течение 2 (двух) рабочих дней с даты принятия решения, указанного в подпункте «а» пункта 2.6 настоящего раздела, включает информацию об Участнике в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онной площадки в сети «Интернет»,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предельный размер обязательств участника предварительного отбора по обязательствам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8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  <w:tab/>
        <w:t xml:space="preserve">    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850"/>
        <w:jc w:val="both"/>
        <w:spacing w:before="0" w:after="0" w:line="240" w:lineRule="auto"/>
        <w:tabs>
          <w:tab w:val="left" w:pos="284" w:leader="none"/>
          <w:tab w:val="clear" w:pos="708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i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Документации).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</w:r>
    </w:p>
    <w:p>
      <w:pPr>
        <w:pStyle w:val="710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10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10"/>
        <w:jc w:val="center"/>
        <w:spacing w:before="0"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pStyle w:val="71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701"/>
        <w:gridCol w:w="1701"/>
        <w:gridCol w:w="2977"/>
        <w:gridCol w:w="3118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ind w:firstLine="4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10"/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10"/>
              <w:ind w:right="102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pStyle w:val="710"/>
              <w:spacing w:before="0" w:after="160"/>
            </w:pPr>
            <w:r/>
            <w:r/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710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10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10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 включении в реестр специалистов)» - ук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азываются сведения о наличии специалистов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рганизации строительства (главных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firstLine="709"/>
        <w:jc w:val="right"/>
        <w:spacing w:before="0"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</w:t>
      </w:r>
      <w:r/>
    </w:p>
    <w:p>
      <w:pPr>
        <w:pStyle w:val="710"/>
        <w:ind w:firstLine="709"/>
        <w:jc w:val="right"/>
        <w:spacing w:before="0" w:after="0" w:line="240" w:lineRule="auto"/>
      </w:pPr>
      <w:r/>
      <w:r/>
    </w:p>
    <w:p>
      <w:pPr>
        <w:pStyle w:val="710"/>
        <w:ind w:firstLine="709"/>
        <w:jc w:val="center"/>
        <w:spacing w:before="0" w:after="0" w:line="240" w:lineRule="auto"/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/>
    </w:p>
    <w:tbl>
      <w:tblPr>
        <w:tblW w:w="1470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4"/>
        <w:gridCol w:w="3066"/>
        <w:gridCol w:w="3650"/>
        <w:gridCol w:w="2577"/>
        <w:gridCol w:w="1639"/>
        <w:gridCol w:w="3112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предприниматель/руководитель юридического лица, самостоятельно организующие строительство</w:t>
            </w:r>
            <w:r/>
          </w:p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10"/>
              <w:spacing w:before="0" w:after="16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/>
          </w:p>
          <w:p>
            <w:pPr>
              <w:pStyle w:val="710"/>
              <w:jc w:val="both"/>
              <w:spacing w:before="0" w:after="0" w:line="240" w:lineRule="auto"/>
            </w:pPr>
            <w:r/>
            <w:r/>
          </w:p>
          <w:p>
            <w:pPr>
              <w:pStyle w:val="710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710"/>
        <w:ind w:firstLine="709"/>
        <w:jc w:val="both"/>
        <w:spacing w:before="0" w:after="0" w:line="240" w:lineRule="auto"/>
      </w:pPr>
      <w:r/>
      <w:r/>
    </w:p>
    <w:p>
      <w:pPr>
        <w:pStyle w:val="710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1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10"/>
          <w:headerReference w:type="first" r:id="rId11"/>
          <w:footnotePr/>
          <w:endnotePr/>
          <w:type w:val="nextPage"/>
          <w:pgSz w:w="16838" w:h="11906" w:orient="landscape"/>
          <w:pgMar w:top="1418" w:right="1134" w:bottom="567" w:left="1134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1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4567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849"/>
        <w:gridCol w:w="1955"/>
        <w:gridCol w:w="1956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1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71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1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2"/>
          <w:headerReference w:type="first" r:id="rId13"/>
          <w:footnotePr/>
          <w:endnotePr/>
          <w:type w:val="nextPage"/>
          <w:pgSz w:w="16838" w:h="11906" w:orient="landscape"/>
          <w:pgMar w:top="1418" w:right="1134" w:bottom="567" w:left="1134" w:header="0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ab/>
        <w:tab/>
        <w:tab/>
      </w:r>
      <w: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spacing w:before="0" w:after="160"/>
        <w:shd w:val="nil" w:color="00000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10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71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71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</w:p>
    <w:p>
      <w:pPr>
        <w:pStyle w:val="71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1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1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</w:p>
    <w:p>
      <w:pPr>
        <w:pStyle w:val="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1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</w:t>
      </w:r>
      <w:r>
        <w:rPr>
          <w:rFonts w:ascii="Times New Roman" w:hAnsi="Times New Roman" w:eastAsia="Times New Roman" w:cs="Times New Roman"/>
        </w:rPr>
        <w:t xml:space="preserve">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</w:t>
      </w:r>
      <w:r>
        <w:rPr>
          <w:rFonts w:ascii="Times New Roman" w:hAnsi="Times New Roman" w:eastAsia="Times New Roman" w:cs="Times New Roman"/>
        </w:rPr>
        <w:t xml:space="preserve">е работ 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Новосибирской области от 24.08.2016 № 242-п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- Министерству жилищно-коммунального хозяйства и энергетики Новосибирской области (ИНН 5406793110</w:t>
      </w:r>
      <w:r>
        <w:rPr>
          <w:rFonts w:ascii="Times New Roman" w:hAnsi="Times New Roman" w:eastAsia="Times New Roman" w:cs="Times New Roman"/>
        </w:rPr>
        <w:t xml:space="preserve">, далее - оператор), находящемуся по адресу: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630091, г. Новосибирск, ул. Фрунзе, 5, оф. 639,</w:t>
      </w:r>
      <w:r>
        <w:rPr>
          <w:rFonts w:ascii="Times New Roman" w:hAnsi="Times New Roman" w:eastAsia="Times New Roman" w:cs="Times New Roman"/>
        </w:rPr>
        <w:t xml:space="preserve"> с целью исполнения требований п. 25 и пп. в) п. 38 Положения, утвержденного постановлением Правительства Российской Федерации от 01.07.2016 № 615 «О порядке привлечения подря</w:t>
      </w:r>
      <w:r>
        <w:rPr>
          <w:rFonts w:ascii="Times New Roman" w:hAnsi="Times New Roman" w:eastAsia="Times New Roman" w:cs="Times New Roman"/>
        </w:rPr>
        <w:t xml:space="preserve">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</w:t>
      </w:r>
      <w:r>
        <w:rPr>
          <w:rFonts w:ascii="Times New Roman" w:hAnsi="Times New Roman" w:eastAsia="Times New Roman" w:cs="Times New Roman"/>
        </w:rPr>
        <w:t xml:space="preserve">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</w:t>
      </w:r>
      <w:r>
        <w:rPr>
          <w:rFonts w:ascii="Times New Roman" w:hAnsi="Times New Roman" w:eastAsia="Times New Roman" w:cs="Times New Roman"/>
        </w:rPr>
        <w:t xml:space="preserve">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</w:t>
      </w:r>
      <w:r>
        <w:rPr>
          <w:rFonts w:ascii="Times New Roman" w:hAnsi="Times New Roman" w:eastAsia="Times New Roman" w:cs="Times New Roman"/>
        </w:rPr>
        <w:t xml:space="preserve">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  <w:r>
        <w:rPr>
          <w:rFonts w:ascii="Times New Roman" w:hAnsi="Times New Roman" w:cs="Times New Roman"/>
        </w:rPr>
      </w:r>
    </w:p>
    <w:p>
      <w:pPr>
        <w:pStyle w:val="71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дата рождения, номер основног</w:t>
      </w:r>
      <w:r>
        <w:rPr>
          <w:rFonts w:ascii="Times New Roman" w:hAnsi="Times New Roman" w:eastAsia="Times New Roman" w:cs="Times New Roman"/>
        </w:rPr>
        <w:t xml:space="preserve">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  <w:r>
        <w:rPr>
          <w:rFonts w:ascii="Times New Roman" w:hAnsi="Times New Roman" w:cs="Times New Roman"/>
        </w:rPr>
      </w:r>
    </w:p>
    <w:p>
      <w:pPr>
        <w:pStyle w:val="710"/>
        <w:ind w:left="0" w:righ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</w:t>
      </w:r>
      <w:r>
        <w:rPr>
          <w:rFonts w:ascii="Times New Roman" w:hAnsi="Times New Roman" w:eastAsia="Times New Roman" w:cs="Times New Roman"/>
        </w:rPr>
        <w:t xml:space="preserve">атизации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-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Министерству жилищно-коммунального хозяйства и энергетики Новосибирской области.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1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</w:p>
    <w:p>
      <w:pPr>
        <w:pStyle w:val="71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</w:p>
    <w:p>
      <w:pPr>
        <w:pStyle w:val="71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</w:p>
    <w:p>
      <w:pPr>
        <w:pStyle w:val="71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</w:p>
    <w:p>
      <w:pPr>
        <w:pStyle w:val="710"/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данных: </w:t>
      </w:r>
      <w:r>
        <w:rPr>
          <w:rFonts w:ascii="Times New Roman" w:hAnsi="Times New Roman" w:cs="Times New Roman"/>
          <w:highlight w:val="none"/>
        </w:rPr>
      </w:r>
    </w:p>
    <w:p>
      <w:pPr>
        <w:pStyle w:val="71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10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 xml:space="preserve">«           »          20     г. </w:t>
      </w:r>
      <w:r>
        <w:rPr>
          <w:rFonts w:ascii="Times New Roman" w:hAnsi="Times New Roman" w:cs="Times New Roman"/>
          <w:highlight w:val="none"/>
        </w:rPr>
      </w:r>
    </w:p>
    <w:p>
      <w:pPr>
        <w:pStyle w:val="710"/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10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</w:p>
    <w:p>
      <w:pPr>
        <w:pStyle w:val="710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710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10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10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10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10"/>
        <w:ind w:left="0" w:right="0" w:firstLine="0"/>
        <w:jc w:val="left"/>
        <w:spacing w:before="0" w:after="160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/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sectPr>
      <w:headerReference w:type="default" r:id="rId14"/>
      <w:footnotePr/>
      <w:endnotePr/>
      <w:type w:val="nextPage"/>
      <w:pgSz w:w="11906" w:h="16838" w:orient="portrait"/>
      <w:pgMar w:top="1134" w:right="567" w:bottom="1134" w:left="1418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MS Sans Serif">
    <w:panose1 w:val="00000709000000000000"/>
  </w:font>
  <w:font w:name="Times New Roman">
    <w:panose1 w:val="02020603050405020304"/>
  </w:font>
  <w:font w:name="Microsoft YaHei">
    <w:panose1 w:val="020B0503020203020204"/>
  </w:font>
  <w:font w:name="Courier New">
    <w:panose1 w:val="02070309020205020404"/>
  </w:font>
  <w:font w:name="Mangal">
    <w:panose1 w:val="0204050305040603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17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7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20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79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23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7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10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11">
    <w:name w:val="Heading 1"/>
    <w:basedOn w:val="7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2">
    <w:name w:val="Heading 2"/>
    <w:basedOn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3">
    <w:name w:val="Heading 3"/>
    <w:basedOn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4">
    <w:name w:val="Heading 4"/>
    <w:basedOn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>
    <w:name w:val="Heading 1 Char"/>
    <w:basedOn w:val="742"/>
    <w:uiPriority w:val="9"/>
    <w:qFormat/>
    <w:rPr>
      <w:rFonts w:ascii="Arial" w:hAnsi="Arial" w:eastAsia="Arial" w:cs="Arial"/>
      <w:sz w:val="40"/>
      <w:szCs w:val="40"/>
    </w:rPr>
  </w:style>
  <w:style w:type="character" w:styleId="721">
    <w:name w:val="Heading 2 Char"/>
    <w:basedOn w:val="742"/>
    <w:uiPriority w:val="9"/>
    <w:qFormat/>
    <w:rPr>
      <w:rFonts w:ascii="Arial" w:hAnsi="Arial" w:eastAsia="Arial" w:cs="Arial"/>
      <w:sz w:val="34"/>
    </w:rPr>
  </w:style>
  <w:style w:type="character" w:styleId="722">
    <w:name w:val="Heading 3 Char"/>
    <w:basedOn w:val="742"/>
    <w:uiPriority w:val="9"/>
    <w:qFormat/>
    <w:rPr>
      <w:rFonts w:ascii="Arial" w:hAnsi="Arial" w:eastAsia="Arial" w:cs="Arial"/>
      <w:sz w:val="30"/>
      <w:szCs w:val="30"/>
    </w:rPr>
  </w:style>
  <w:style w:type="character" w:styleId="723">
    <w:name w:val="Heading 4 Char"/>
    <w:basedOn w:val="74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24">
    <w:name w:val="Heading 5 Char"/>
    <w:basedOn w:val="74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25">
    <w:name w:val="Heading 6 Char"/>
    <w:basedOn w:val="74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26">
    <w:name w:val="Heading 7 Char"/>
    <w:basedOn w:val="74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8 Char"/>
    <w:basedOn w:val="742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28">
    <w:name w:val="Heading 9 Char"/>
    <w:basedOn w:val="74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29">
    <w:name w:val="Title Char"/>
    <w:basedOn w:val="742"/>
    <w:uiPriority w:val="10"/>
    <w:qFormat/>
    <w:rPr>
      <w:sz w:val="48"/>
      <w:szCs w:val="48"/>
    </w:rPr>
  </w:style>
  <w:style w:type="character" w:styleId="730">
    <w:name w:val="Subtitle Char"/>
    <w:basedOn w:val="742"/>
    <w:uiPriority w:val="11"/>
    <w:qFormat/>
    <w:rPr>
      <w:sz w:val="24"/>
      <w:szCs w:val="24"/>
    </w:rPr>
  </w:style>
  <w:style w:type="character" w:styleId="731">
    <w:name w:val="Quote Char"/>
    <w:uiPriority w:val="29"/>
    <w:qFormat/>
    <w:rPr>
      <w:i/>
    </w:rPr>
  </w:style>
  <w:style w:type="character" w:styleId="732">
    <w:name w:val="Intense Quote Char"/>
    <w:uiPriority w:val="30"/>
    <w:qFormat/>
    <w:rPr>
      <w:i/>
    </w:rPr>
  </w:style>
  <w:style w:type="character" w:styleId="733">
    <w:name w:val="Header Char"/>
    <w:basedOn w:val="742"/>
    <w:uiPriority w:val="99"/>
    <w:qFormat/>
  </w:style>
  <w:style w:type="character" w:styleId="734">
    <w:name w:val="Footer Char"/>
    <w:basedOn w:val="742"/>
    <w:uiPriority w:val="99"/>
    <w:qFormat/>
  </w:style>
  <w:style w:type="character" w:styleId="735">
    <w:name w:val="Caption Char"/>
    <w:uiPriority w:val="99"/>
    <w:qFormat/>
  </w:style>
  <w:style w:type="character" w:styleId="736">
    <w:name w:val="Footnote Text Char"/>
    <w:uiPriority w:val="99"/>
    <w:qFormat/>
    <w:rPr>
      <w:sz w:val="18"/>
    </w:rPr>
  </w:style>
  <w:style w:type="character" w:styleId="737">
    <w:name w:val="Footnote Characters"/>
    <w:uiPriority w:val="99"/>
    <w:unhideWhenUsed/>
    <w:qFormat/>
    <w:rPr>
      <w:vertAlign w:val="superscript"/>
    </w:rPr>
  </w:style>
  <w:style w:type="character" w:styleId="738">
    <w:name w:val="footnote reference"/>
    <w:rPr>
      <w:vertAlign w:val="superscript"/>
    </w:rPr>
  </w:style>
  <w:style w:type="character" w:styleId="739">
    <w:name w:val="Endnote Text Char"/>
    <w:uiPriority w:val="99"/>
    <w:qFormat/>
    <w:rPr>
      <w:sz w:val="20"/>
    </w:rPr>
  </w:style>
  <w:style w:type="character" w:styleId="740">
    <w:name w:val="Endnote Characters"/>
    <w:uiPriority w:val="99"/>
    <w:semiHidden/>
    <w:unhideWhenUsed/>
    <w:qFormat/>
    <w:rPr>
      <w:vertAlign w:val="superscript"/>
    </w:rPr>
  </w:style>
  <w:style w:type="character" w:styleId="741">
    <w:name w:val="endnote reference"/>
    <w:rPr>
      <w:vertAlign w:val="superscript"/>
    </w:rPr>
  </w:style>
  <w:style w:type="character" w:styleId="742" w:default="1">
    <w:name w:val="Default Paragraph Font"/>
    <w:uiPriority w:val="1"/>
    <w:semiHidden/>
    <w:unhideWhenUsed/>
    <w:qFormat/>
  </w:style>
  <w:style w:type="character" w:styleId="743">
    <w:name w:val="Hyperlink"/>
    <w:basedOn w:val="742"/>
    <w:uiPriority w:val="99"/>
    <w:unhideWhenUsed/>
    <w:rPr>
      <w:color w:val="0563c1" w:themeColor="hyperlink"/>
      <w:u w:val="single"/>
    </w:rPr>
  </w:style>
  <w:style w:type="character" w:styleId="744" w:customStyle="1">
    <w:name w:val="Гипертекстовая ссылка"/>
    <w:basedOn w:val="742"/>
    <w:uiPriority w:val="99"/>
    <w:qFormat/>
    <w:rPr>
      <w:b/>
      <w:bCs/>
      <w:color w:val="106bbe"/>
    </w:rPr>
  </w:style>
  <w:style w:type="character" w:styleId="745">
    <w:name w:val="FollowedHyperlink"/>
    <w:basedOn w:val="742"/>
    <w:uiPriority w:val="99"/>
    <w:semiHidden/>
    <w:unhideWhenUsed/>
    <w:rPr>
      <w:color w:val="800080"/>
      <w:u w:val="single"/>
    </w:rPr>
  </w:style>
  <w:style w:type="character" w:styleId="746" w:customStyle="1">
    <w:name w:val="Верхний колонтитул Знак"/>
    <w:basedOn w:val="742"/>
    <w:uiPriority w:val="99"/>
    <w:qFormat/>
  </w:style>
  <w:style w:type="character" w:styleId="747" w:customStyle="1">
    <w:name w:val="Нижний колонтитул Знак"/>
    <w:basedOn w:val="742"/>
    <w:uiPriority w:val="99"/>
    <w:qFormat/>
  </w:style>
  <w:style w:type="character" w:styleId="748" w:customStyle="1">
    <w:name w:val="Текст выноски Знак"/>
    <w:basedOn w:val="742"/>
    <w:uiPriority w:val="99"/>
    <w:semiHidden/>
    <w:qFormat/>
    <w:rPr>
      <w:rFonts w:ascii="Tahoma" w:hAnsi="Tahoma" w:cs="Tahoma"/>
      <w:sz w:val="16"/>
      <w:szCs w:val="16"/>
    </w:rPr>
  </w:style>
  <w:style w:type="character" w:styleId="749" w:customStyle="1">
    <w:name w:val="Абзац списка Знак"/>
    <w:uiPriority w:val="34"/>
    <w:qFormat/>
  </w:style>
  <w:style w:type="paragraph" w:styleId="750">
    <w:name w:val="Heading"/>
    <w:basedOn w:val="710"/>
    <w:next w:val="75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51">
    <w:name w:val="Body Text"/>
    <w:basedOn w:val="710"/>
    <w:pPr>
      <w:spacing w:before="0" w:after="140" w:line="276" w:lineRule="auto"/>
    </w:pPr>
  </w:style>
  <w:style w:type="paragraph" w:styleId="752">
    <w:name w:val="List"/>
    <w:basedOn w:val="751"/>
    <w:rPr>
      <w:rFonts w:cs="Mangal"/>
    </w:rPr>
  </w:style>
  <w:style w:type="paragraph" w:styleId="753">
    <w:name w:val="Caption"/>
    <w:basedOn w:val="7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54">
    <w:name w:val="Index"/>
    <w:basedOn w:val="710"/>
    <w:qFormat/>
    <w:pPr>
      <w:suppressLineNumbers/>
    </w:pPr>
    <w:rPr>
      <w:rFonts w:cs="Mangal"/>
    </w:rPr>
  </w:style>
  <w:style w:type="paragraph" w:styleId="755">
    <w:name w:val="Title"/>
    <w:basedOn w:val="71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6">
    <w:name w:val="Subtitle"/>
    <w:basedOn w:val="710"/>
    <w:uiPriority w:val="11"/>
    <w:qFormat/>
    <w:pPr>
      <w:spacing w:before="200" w:after="200"/>
    </w:pPr>
    <w:rPr>
      <w:sz w:val="24"/>
      <w:szCs w:val="24"/>
    </w:rPr>
  </w:style>
  <w:style w:type="paragraph" w:styleId="757">
    <w:name w:val="Quote"/>
    <w:basedOn w:val="710"/>
    <w:uiPriority w:val="29"/>
    <w:qFormat/>
    <w:pPr>
      <w:ind w:left="720" w:right="720"/>
    </w:pPr>
    <w:rPr>
      <w:i/>
    </w:rPr>
  </w:style>
  <w:style w:type="paragraph" w:styleId="758">
    <w:name w:val="Intense Quote"/>
    <w:basedOn w:val="710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59">
    <w:name w:val="footnote text"/>
    <w:basedOn w:val="71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60">
    <w:name w:val="endnote text"/>
    <w:basedOn w:val="71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61">
    <w:name w:val="toc 1"/>
    <w:basedOn w:val="710"/>
    <w:uiPriority w:val="39"/>
    <w:unhideWhenUsed/>
    <w:pPr>
      <w:ind w:left="0" w:right="0" w:firstLine="0"/>
      <w:spacing w:before="0" w:after="57"/>
    </w:pPr>
  </w:style>
  <w:style w:type="paragraph" w:styleId="762">
    <w:name w:val="toc 2"/>
    <w:basedOn w:val="710"/>
    <w:uiPriority w:val="39"/>
    <w:unhideWhenUsed/>
    <w:pPr>
      <w:ind w:left="283" w:right="0" w:firstLine="0"/>
      <w:spacing w:before="0" w:after="57"/>
    </w:pPr>
  </w:style>
  <w:style w:type="paragraph" w:styleId="763">
    <w:name w:val="toc 3"/>
    <w:basedOn w:val="710"/>
    <w:uiPriority w:val="39"/>
    <w:unhideWhenUsed/>
    <w:pPr>
      <w:ind w:left="567" w:right="0" w:firstLine="0"/>
      <w:spacing w:before="0" w:after="57"/>
    </w:pPr>
  </w:style>
  <w:style w:type="paragraph" w:styleId="764">
    <w:name w:val="toc 4"/>
    <w:basedOn w:val="710"/>
    <w:uiPriority w:val="39"/>
    <w:unhideWhenUsed/>
    <w:pPr>
      <w:ind w:left="850" w:right="0" w:firstLine="0"/>
      <w:spacing w:before="0" w:after="57"/>
    </w:pPr>
  </w:style>
  <w:style w:type="paragraph" w:styleId="765">
    <w:name w:val="toc 5"/>
    <w:basedOn w:val="710"/>
    <w:uiPriority w:val="39"/>
    <w:unhideWhenUsed/>
    <w:pPr>
      <w:ind w:left="1134" w:right="0" w:firstLine="0"/>
      <w:spacing w:before="0" w:after="57"/>
    </w:pPr>
  </w:style>
  <w:style w:type="paragraph" w:styleId="766">
    <w:name w:val="toc 6"/>
    <w:basedOn w:val="710"/>
    <w:uiPriority w:val="39"/>
    <w:unhideWhenUsed/>
    <w:pPr>
      <w:ind w:left="1417" w:right="0" w:firstLine="0"/>
      <w:spacing w:before="0" w:after="57"/>
    </w:pPr>
  </w:style>
  <w:style w:type="paragraph" w:styleId="767">
    <w:name w:val="toc 7"/>
    <w:basedOn w:val="710"/>
    <w:uiPriority w:val="39"/>
    <w:unhideWhenUsed/>
    <w:pPr>
      <w:ind w:left="1701" w:right="0" w:firstLine="0"/>
      <w:spacing w:before="0" w:after="57"/>
    </w:pPr>
  </w:style>
  <w:style w:type="paragraph" w:styleId="768">
    <w:name w:val="toc 8"/>
    <w:basedOn w:val="710"/>
    <w:uiPriority w:val="39"/>
    <w:unhideWhenUsed/>
    <w:pPr>
      <w:ind w:left="1984" w:right="0" w:firstLine="0"/>
      <w:spacing w:before="0" w:after="57"/>
    </w:pPr>
  </w:style>
  <w:style w:type="paragraph" w:styleId="769">
    <w:name w:val="toc 9"/>
    <w:basedOn w:val="710"/>
    <w:uiPriority w:val="39"/>
    <w:unhideWhenUsed/>
    <w:pPr>
      <w:ind w:left="2268" w:right="0" w:firstLine="0"/>
      <w:spacing w:before="0" w:after="57"/>
    </w:pPr>
  </w:style>
  <w:style w:type="paragraph" w:styleId="770">
    <w:name w:val="Index Heading"/>
    <w:basedOn w:val="750"/>
  </w:style>
  <w:style w:type="paragraph" w:styleId="771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72">
    <w:name w:val="table of figures"/>
    <w:basedOn w:val="710"/>
    <w:uiPriority w:val="99"/>
    <w:unhideWhenUsed/>
    <w:pPr>
      <w:spacing w:before="0" w:after="0" w:afterAutospacing="0"/>
    </w:pPr>
  </w:style>
  <w:style w:type="paragraph" w:styleId="773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Arial" w:hAnsi="Arial" w:eastAsia="Times New Roman" w:cs="Arial" w:cstheme="minorBidi"/>
      <w:color w:val="auto"/>
      <w:sz w:val="24"/>
      <w:szCs w:val="24"/>
      <w:lang w:val="ru-RU" w:eastAsia="ru-RU" w:bidi="ar-SA"/>
    </w:rPr>
  </w:style>
  <w:style w:type="paragraph" w:styleId="774" w:customStyle="1">
    <w:name w:val="xl63"/>
    <w:basedOn w:val="710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75" w:customStyle="1">
    <w:name w:val="xl65"/>
    <w:basedOn w:val="710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76" w:customStyle="1">
    <w:name w:val="xl64"/>
    <w:basedOn w:val="710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77" w:customStyle="1">
    <w:name w:val="xl66"/>
    <w:basedOn w:val="710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78" w:customStyle="1">
    <w:name w:val="xl67"/>
    <w:basedOn w:val="710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79" w:customStyle="1">
    <w:name w:val="xl68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0" w:customStyle="1">
    <w:name w:val="xl69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1" w:customStyle="1">
    <w:name w:val="xl70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2" w:customStyle="1">
    <w:name w:val="xl71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83" w:customStyle="1">
    <w:name w:val="xl72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4" w:customStyle="1">
    <w:name w:val="xl73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5" w:customStyle="1">
    <w:name w:val="xl74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86" w:customStyle="1">
    <w:name w:val="xl75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87" w:customStyle="1">
    <w:name w:val="xl76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88" w:customStyle="1">
    <w:name w:val="xl77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789" w:customStyle="1">
    <w:name w:val="xl78"/>
    <w:basedOn w:val="71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790">
    <w:name w:val="List Paragraph"/>
    <w:basedOn w:val="710"/>
    <w:uiPriority w:val="34"/>
    <w:qFormat/>
    <w:pPr>
      <w:contextualSpacing/>
      <w:ind w:left="720"/>
      <w:spacing w:before="0" w:after="160"/>
    </w:pPr>
  </w:style>
  <w:style w:type="paragraph" w:styleId="791">
    <w:name w:val="Header and Footer"/>
    <w:basedOn w:val="710"/>
    <w:qFormat/>
  </w:style>
  <w:style w:type="paragraph" w:styleId="792">
    <w:name w:val="Header"/>
    <w:basedOn w:val="71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93">
    <w:name w:val="Footer"/>
    <w:basedOn w:val="71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94">
    <w:name w:val="Balloon Text"/>
    <w:basedOn w:val="710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numbering" w:styleId="795" w:default="1">
    <w:name w:val="No List"/>
    <w:uiPriority w:val="99"/>
    <w:semiHidden/>
    <w:unhideWhenUsed/>
    <w:qFormat/>
  </w:style>
  <w:style w:type="table" w:styleId="46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customXml" Target="../customXml/item1.xml" /><Relationship Id="rId16" Type="http://schemas.openxmlformats.org/officeDocument/2006/relationships/hyperlink" Target="http://www.mjkh.nso.ru/page/724." TargetMode="External"/><Relationship Id="rId17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8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D63C9-CC00-4C33-B765-DA9C8ED1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pc004</dc:creator>
  <dc:description/>
  <dc:language>ru-RU</dc:language>
  <cp:revision>100</cp:revision>
  <dcterms:created xsi:type="dcterms:W3CDTF">2021-11-15T02:29:00Z</dcterms:created>
  <dcterms:modified xsi:type="dcterms:W3CDTF">2026-01-28T06:27:24Z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